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31" w:rsidRDefault="00806131" w:rsidP="00806131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06131" w:rsidRDefault="00806131" w:rsidP="00806131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806131" w:rsidRDefault="00806131" w:rsidP="00806131">
      <w:pPr>
        <w:jc w:val="center"/>
        <w:rPr>
          <w:b/>
        </w:rPr>
      </w:pPr>
      <w:r>
        <w:rPr>
          <w:b/>
        </w:rPr>
        <w:t>МОУ Гимназия №16 «Интерес» муниципального образования</w:t>
      </w:r>
    </w:p>
    <w:p w:rsidR="00806131" w:rsidRDefault="00806131" w:rsidP="00806131">
      <w:pPr>
        <w:jc w:val="center"/>
        <w:rPr>
          <w:b/>
        </w:rPr>
      </w:pPr>
      <w:r>
        <w:rPr>
          <w:b/>
        </w:rPr>
        <w:t xml:space="preserve"> городской округ Люберцы Московской области</w:t>
      </w:r>
    </w:p>
    <w:p w:rsidR="00806131" w:rsidRDefault="00806131" w:rsidP="00806131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06131" w:rsidRDefault="00806131" w:rsidP="00806131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06131" w:rsidRDefault="00806131" w:rsidP="00806131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06131" w:rsidRDefault="00806131" w:rsidP="00806131">
      <w:pPr>
        <w:jc w:val="center"/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  <w:t xml:space="preserve">Мастер- класс для педагогов </w:t>
      </w:r>
    </w:p>
    <w:p w:rsidR="00806131" w:rsidRDefault="00806131" w:rsidP="00806131">
      <w:pPr>
        <w:jc w:val="center"/>
        <w:rPr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  <w:t>«</w:t>
      </w:r>
      <w:r>
        <w:rPr>
          <w:bCs/>
          <w:color w:val="000000" w:themeColor="text1"/>
          <w:sz w:val="32"/>
          <w:szCs w:val="32"/>
          <w:shd w:val="clear" w:color="auto" w:fill="FFFFFF"/>
        </w:rPr>
        <w:t>Нетрадиционное рисование с использованием прозрачного мольберта»</w:t>
      </w:r>
    </w:p>
    <w:p w:rsidR="00806131" w:rsidRPr="00806131" w:rsidRDefault="00806131" w:rsidP="00806131">
      <w:pPr>
        <w:jc w:val="center"/>
        <w:rPr>
          <w:bCs/>
          <w:color w:val="000000" w:themeColor="text1"/>
          <w:sz w:val="32"/>
          <w:szCs w:val="32"/>
          <w:shd w:val="clear" w:color="auto" w:fill="FFFFFF"/>
        </w:rPr>
      </w:pPr>
      <w:r>
        <w:rPr>
          <w:bCs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3409950"/>
            <wp:effectExtent l="19050" t="0" r="3175" b="0"/>
            <wp:docPr id="2" name="Рисунок 1" descr="06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_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131" w:rsidRDefault="00806131" w:rsidP="00806131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Автор</w:t>
      </w:r>
      <w:proofErr w:type="gramStart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</w:p>
    <w:p w:rsidR="00806131" w:rsidRDefault="00806131" w:rsidP="00806131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воспитатель </w:t>
      </w:r>
    </w:p>
    <w:p w:rsidR="00806131" w:rsidRDefault="00806131" w:rsidP="00806131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Торбова</w:t>
      </w:r>
      <w:proofErr w:type="spellEnd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Елена Алексеевна</w:t>
      </w:r>
    </w:p>
    <w:p w:rsidR="00806131" w:rsidRDefault="00806131" w:rsidP="00806131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806131" w:rsidRDefault="00806131" w:rsidP="00806131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806131" w:rsidRDefault="00806131" w:rsidP="00806131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806131" w:rsidRDefault="0094074A" w:rsidP="00806131">
      <w:pPr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2019 г</w:t>
      </w:r>
      <w:r w:rsidR="00806131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806131" w:rsidRDefault="00806131" w:rsidP="00806131">
      <w:pP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806131" w:rsidRDefault="00806131">
      <w:r w:rsidRPr="00AD6671">
        <w:rPr>
          <w:b/>
        </w:rPr>
        <w:lastRenderedPageBreak/>
        <w:t xml:space="preserve">Цель </w:t>
      </w:r>
      <w:r w:rsidRPr="00806131">
        <w:t>работы на прозрачном мольберте: развивать высшие психические функции и творческое мышление.</w:t>
      </w:r>
    </w:p>
    <w:p w:rsidR="00AD6671" w:rsidRPr="00AD6671" w:rsidRDefault="00AD6671" w:rsidP="00AD6671">
      <w:pPr>
        <w:rPr>
          <w:b/>
        </w:rPr>
      </w:pPr>
      <w:r w:rsidRPr="00AD6671">
        <w:rPr>
          <w:b/>
        </w:rPr>
        <w:t xml:space="preserve">Задачи: </w:t>
      </w:r>
    </w:p>
    <w:p w:rsidR="00AD6671" w:rsidRDefault="00AD6671" w:rsidP="00AD6671">
      <w:r>
        <w:t xml:space="preserve">Развивать общую и мелкую моторику; </w:t>
      </w:r>
    </w:p>
    <w:p w:rsidR="00AD6671" w:rsidRDefault="00AD6671" w:rsidP="00AD6671">
      <w:r>
        <w:t xml:space="preserve">Развивать сенсорное восприятие; </w:t>
      </w:r>
    </w:p>
    <w:p w:rsidR="00AD6671" w:rsidRDefault="00AD6671" w:rsidP="00AD6671">
      <w:r>
        <w:t xml:space="preserve">Корректировать зрение и зрительное восприятие; </w:t>
      </w:r>
    </w:p>
    <w:p w:rsidR="00AD6671" w:rsidRDefault="00AD6671" w:rsidP="00AD6671">
      <w:r>
        <w:t xml:space="preserve">Развивать речь и мышление в процессе восприятия и отображения; </w:t>
      </w:r>
    </w:p>
    <w:p w:rsidR="00AD6671" w:rsidRDefault="00AD6671" w:rsidP="00AD6671">
      <w:r>
        <w:t>Преодолевать недоста</w:t>
      </w:r>
      <w:r w:rsidR="0094074A">
        <w:t>тки развития личностных качеств:</w:t>
      </w:r>
      <w:r>
        <w:t xml:space="preserve"> неуверенность, неумение преодолевать трудности, ранимость, робость, и др.</w:t>
      </w:r>
    </w:p>
    <w:p w:rsidR="00AD6671" w:rsidRDefault="00AD6671" w:rsidP="00AD6671">
      <w:r w:rsidRPr="00AD6671">
        <w:rPr>
          <w:b/>
        </w:rPr>
        <w:t>Рекомендации при использовании «Прозрачного мольберта»:</w:t>
      </w:r>
      <w:r w:rsidRPr="00806131">
        <w:t xml:space="preserve"> </w:t>
      </w:r>
      <w:r w:rsidR="00CA0111" w:rsidRPr="00CA0111">
        <w:rPr>
          <w:color w:val="000000" w:themeColor="text1"/>
        </w:rPr>
        <w:t xml:space="preserve">Образовательную деятельность </w:t>
      </w:r>
      <w:r w:rsidRPr="00806131">
        <w:t xml:space="preserve">начинать всегда со сказки, стихотворения, игры. </w:t>
      </w:r>
      <w:r w:rsidRPr="00CA0111">
        <w:rPr>
          <w:color w:val="000000" w:themeColor="text1"/>
        </w:rPr>
        <w:t>Занятия</w:t>
      </w:r>
      <w:r w:rsidRPr="00806131">
        <w:t xml:space="preserve"> проводятся согласно возрастному ограничению во времени. Обязательна зрительная гимнастика для снятия глазного напряжения. Рисовать надо как правой, так и левой рукой – для развития и стимуляции </w:t>
      </w:r>
      <w:r w:rsidR="0094074A">
        <w:t xml:space="preserve">правого и левого </w:t>
      </w:r>
      <w:r w:rsidRPr="00806131">
        <w:t>полушарий головного мозга.</w:t>
      </w:r>
    </w:p>
    <w:p w:rsidR="00AD6671" w:rsidRDefault="00AD6671" w:rsidP="00AD6671"/>
    <w:p w:rsidR="00806131" w:rsidRDefault="00806131"/>
    <w:p w:rsidR="00806131" w:rsidRPr="00AD6671" w:rsidRDefault="00AD6671" w:rsidP="00AD6671">
      <w:pPr>
        <w:jc w:val="center"/>
        <w:rPr>
          <w:b/>
        </w:rPr>
      </w:pPr>
      <w:r w:rsidRPr="00AD6671">
        <w:rPr>
          <w:b/>
        </w:rPr>
        <w:t>Ход мастер –</w:t>
      </w:r>
      <w:r w:rsidR="0094074A">
        <w:rPr>
          <w:b/>
        </w:rPr>
        <w:t xml:space="preserve"> </w:t>
      </w:r>
      <w:r w:rsidRPr="00AD6671">
        <w:rPr>
          <w:b/>
        </w:rPr>
        <w:t>класса:</w:t>
      </w:r>
    </w:p>
    <w:p w:rsidR="00806131" w:rsidRDefault="00806131"/>
    <w:p w:rsidR="00806131" w:rsidRDefault="00AD6671">
      <w:r>
        <w:t>Прозрачный мольберт</w:t>
      </w:r>
      <w:r w:rsidR="0094074A">
        <w:t xml:space="preserve"> </w:t>
      </w:r>
      <w:r>
        <w:t>-</w:t>
      </w:r>
      <w:r w:rsidR="0094074A">
        <w:t xml:space="preserve"> </w:t>
      </w:r>
      <w:r>
        <w:t>э</w:t>
      </w:r>
      <w:r w:rsidR="00806131" w:rsidRPr="00806131">
        <w:t>то живопись на стекле, которая является хорошим способом творческого самовыражения детей и способствует развитию у них коммуникативных навыков.</w:t>
      </w:r>
    </w:p>
    <w:p w:rsidR="00806131" w:rsidRDefault="00806131" w:rsidP="00806131">
      <w:r>
        <w:t xml:space="preserve">Прозрачный мольберт используется на индивидуальных и подгрупповых занятиях. В процессе совместной работы с педагогом или другим ребенком приобретаются навыки сотрудничества. </w:t>
      </w:r>
    </w:p>
    <w:p w:rsidR="00806131" w:rsidRDefault="00806131" w:rsidP="00806131">
      <w:r>
        <w:t xml:space="preserve">Очень эффективно использование прозрачного мольберта в период адаптации. Есть дети, у которых он протекает очень сложно. В процессе совместной работы с психологом, когда взрослый начинает рисовать, а ребенок продолжает рисунок, легче установить контакт, вызвать на общение. У педагога дополнительного образования использование прозрачного </w:t>
      </w:r>
      <w:r>
        <w:lastRenderedPageBreak/>
        <w:t xml:space="preserve">мольберта направлено на развитие мелкой моторики, координаций движений, воображение, формирование у детей с ограниченными возможностями в доступной форме навыков творческой деятельности. </w:t>
      </w:r>
    </w:p>
    <w:p w:rsidR="00806131" w:rsidRDefault="00806131" w:rsidP="00806131">
      <w:r>
        <w:t xml:space="preserve">Помимо рисования кистью, на прозрачном мольберте дети знакомятся с различными техниками изобразительного искусства: </w:t>
      </w:r>
    </w:p>
    <w:p w:rsidR="00806131" w:rsidRDefault="00806131" w:rsidP="00806131"/>
    <w:p w:rsidR="00806131" w:rsidRDefault="00806131" w:rsidP="00806131">
      <w:r>
        <w:t xml:space="preserve">1. Рисование пальцами и ладошкой. </w:t>
      </w:r>
    </w:p>
    <w:p w:rsidR="00806131" w:rsidRDefault="00806131" w:rsidP="00806131"/>
    <w:p w:rsidR="00806131" w:rsidRDefault="00806131" w:rsidP="00806131">
      <w:r>
        <w:t xml:space="preserve">2. Рисование листьями. </w:t>
      </w:r>
    </w:p>
    <w:p w:rsidR="00806131" w:rsidRDefault="00806131" w:rsidP="00806131"/>
    <w:p w:rsidR="00806131" w:rsidRDefault="00806131" w:rsidP="00806131">
      <w:r>
        <w:t xml:space="preserve">3. Штампы и печати. </w:t>
      </w:r>
    </w:p>
    <w:p w:rsidR="00806131" w:rsidRDefault="00806131" w:rsidP="00806131"/>
    <w:p w:rsidR="00806131" w:rsidRDefault="00806131" w:rsidP="00806131">
      <w:r>
        <w:t xml:space="preserve">4. Поролоновые рисунки. </w:t>
      </w:r>
    </w:p>
    <w:p w:rsidR="00806131" w:rsidRDefault="00806131" w:rsidP="00806131"/>
    <w:p w:rsidR="00806131" w:rsidRDefault="00806131" w:rsidP="00806131">
      <w:r>
        <w:t xml:space="preserve">5. Метод </w:t>
      </w:r>
      <w:proofErr w:type="spellStart"/>
      <w:r>
        <w:t>монотопии</w:t>
      </w:r>
      <w:proofErr w:type="spellEnd"/>
      <w:r w:rsidR="0094074A">
        <w:t>.</w:t>
      </w:r>
      <w:r>
        <w:t xml:space="preserve"> </w:t>
      </w:r>
    </w:p>
    <w:p w:rsidR="00806131" w:rsidRDefault="00806131" w:rsidP="00806131"/>
    <w:p w:rsidR="00806131" w:rsidRDefault="00AD6671" w:rsidP="00806131">
      <w:r>
        <w:t>Познакомимся с занятием:</w:t>
      </w:r>
      <w:r w:rsidR="00806131">
        <w:t xml:space="preserve"> "Рисуем вместе". </w:t>
      </w:r>
    </w:p>
    <w:p w:rsidR="00806131" w:rsidRDefault="00806131" w:rsidP="00806131">
      <w:r>
        <w:t>Задачи: развитие навыков ориентирования на вертикальной плоскости, сотрудничества</w:t>
      </w:r>
      <w:proofErr w:type="gramStart"/>
      <w:r>
        <w:t xml:space="preserve"> ;</w:t>
      </w:r>
      <w:proofErr w:type="gramEnd"/>
      <w:r>
        <w:t xml:space="preserve"> формирование творческой активности. </w:t>
      </w:r>
    </w:p>
    <w:p w:rsidR="00806131" w:rsidRDefault="00806131" w:rsidP="00806131"/>
    <w:p w:rsidR="00AD6671" w:rsidRDefault="00806131" w:rsidP="00806131">
      <w:r>
        <w:t xml:space="preserve">Ход работы: </w:t>
      </w:r>
    </w:p>
    <w:p w:rsidR="00CA0111" w:rsidRDefault="00CA0111" w:rsidP="00806131">
      <w:r>
        <w:t>1.</w:t>
      </w:r>
      <w:r w:rsidRPr="00CA0111">
        <w:t xml:space="preserve">«Разрезанная открытка». Берутся четыре-пять открыток (одинаковых или разных; лучше — большого формата). Каждая из них разрезается на </w:t>
      </w:r>
      <w:r>
        <w:t>2</w:t>
      </w:r>
      <w:r w:rsidRPr="00CA0111">
        <w:t xml:space="preserve"> </w:t>
      </w:r>
      <w:r>
        <w:t>части</w:t>
      </w:r>
      <w:r w:rsidRPr="00CA0111">
        <w:t>. Все части перемешиваются. Кажды</w:t>
      </w:r>
      <w:r>
        <w:t xml:space="preserve">й </w:t>
      </w:r>
      <w:r w:rsidRPr="00CA0111">
        <w:t>вытягивает по фрагменту и ищет свою команду, объединяясь с теми, кому достались фрагменты, необходимые для составления целой картинки.</w:t>
      </w:r>
    </w:p>
    <w:p w:rsidR="0094074A" w:rsidRDefault="0094074A" w:rsidP="00806131">
      <w:r>
        <w:t>2. После того</w:t>
      </w:r>
      <w:r w:rsidR="00CA0111">
        <w:t>, как поделились на пары</w:t>
      </w:r>
      <w:r>
        <w:t>,</w:t>
      </w:r>
      <w:r w:rsidR="00CA0111">
        <w:t xml:space="preserve"> </w:t>
      </w:r>
      <w:r>
        <w:t>приступаем</w:t>
      </w:r>
      <w:r w:rsidR="00CA0111">
        <w:t xml:space="preserve"> к работе на мольберте. С</w:t>
      </w:r>
      <w:r>
        <w:t xml:space="preserve"> разных сторон рисуем</w:t>
      </w:r>
      <w:r w:rsidR="00806131">
        <w:t xml:space="preserve"> одинаковые</w:t>
      </w:r>
      <w:r>
        <w:t xml:space="preserve"> предметы, после чего объединяем</w:t>
      </w:r>
      <w:r w:rsidR="00806131">
        <w:t xml:space="preserve"> рисунки совместным сюжетом. Например: "</w:t>
      </w:r>
      <w:r w:rsidR="00CA0111">
        <w:t>весенний пейзаж</w:t>
      </w:r>
      <w:r w:rsidR="00806131">
        <w:t xml:space="preserve">" - </w:t>
      </w:r>
      <w:r>
        <w:t>рисуем</w:t>
      </w:r>
      <w:r w:rsidR="00CA0111">
        <w:t xml:space="preserve"> дерево</w:t>
      </w:r>
      <w:r>
        <w:t>, а затем проводим</w:t>
      </w:r>
      <w:r w:rsidR="00CA0111">
        <w:t xml:space="preserve"> веточки от ствола</w:t>
      </w:r>
      <w:r w:rsidR="00806131">
        <w:t xml:space="preserve">. </w:t>
      </w:r>
    </w:p>
    <w:p w:rsidR="00806131" w:rsidRDefault="00806131" w:rsidP="00806131">
      <w:r>
        <w:lastRenderedPageBreak/>
        <w:t>Воспитатель, побуждая работать совместно, формирует коммуникативные навыки, развивает предпосылки творчества.</w:t>
      </w:r>
    </w:p>
    <w:p w:rsidR="00AD6671" w:rsidRDefault="00AD6671" w:rsidP="00806131">
      <w:r>
        <w:t>Вывод</w:t>
      </w:r>
      <w:proofErr w:type="gramStart"/>
      <w:r>
        <w:t xml:space="preserve"> :</w:t>
      </w:r>
      <w:proofErr w:type="gramEnd"/>
      <w:r w:rsidR="0094074A">
        <w:t xml:space="preserve"> Прозрачный мольберт находит</w:t>
      </w:r>
      <w:r w:rsidR="00CA0111" w:rsidRPr="00CA0111">
        <w:t xml:space="preserve"> применение в работе разных специалист</w:t>
      </w:r>
      <w:r w:rsidR="0094074A">
        <w:t>ов, каждый из которых разрабатывает</w:t>
      </w:r>
      <w:r w:rsidR="00CA0111" w:rsidRPr="00CA0111">
        <w:t xml:space="preserve"> собственную программу со своими целями и задачами.</w:t>
      </w:r>
      <w:r w:rsidR="0094074A">
        <w:t xml:space="preserve"> При использовании прозрачного</w:t>
      </w:r>
      <w:r w:rsidR="00AC1503">
        <w:t xml:space="preserve"> мольберт</w:t>
      </w:r>
      <w:r w:rsidR="0094074A">
        <w:t>а</w:t>
      </w:r>
      <w:r w:rsidR="00AC1503">
        <w:t xml:space="preserve"> у детей развивается</w:t>
      </w:r>
      <w:proofErr w:type="gramStart"/>
      <w:r w:rsidR="00AC1503">
        <w:t xml:space="preserve"> :</w:t>
      </w:r>
      <w:proofErr w:type="gramEnd"/>
    </w:p>
    <w:p w:rsidR="00AD6671" w:rsidRDefault="00AD6671" w:rsidP="00806131">
      <w:r w:rsidRPr="00AD6671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4" descr="https://ds04.infourok.ru/uploads/ex/0381/00065898-d1fe7e0e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381/00065898-d1fe7e0e/640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671" w:rsidSect="0082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6131"/>
    <w:rsid w:val="005A0922"/>
    <w:rsid w:val="00806131"/>
    <w:rsid w:val="0082798B"/>
    <w:rsid w:val="008716AE"/>
    <w:rsid w:val="0094074A"/>
    <w:rsid w:val="009D4E60"/>
    <w:rsid w:val="00AC1503"/>
    <w:rsid w:val="00AD6671"/>
    <w:rsid w:val="00CA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A0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4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471650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15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04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73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36C7-CFE5-4C0A-8643-3CF38E8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Ольга</cp:lastModifiedBy>
  <cp:revision>6</cp:revision>
  <dcterms:created xsi:type="dcterms:W3CDTF">2019-03-03T13:59:00Z</dcterms:created>
  <dcterms:modified xsi:type="dcterms:W3CDTF">2019-03-12T11:25:00Z</dcterms:modified>
</cp:coreProperties>
</file>